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7A472" w14:textId="0B3CD46F" w:rsidR="008B496C" w:rsidRDefault="004F0AB1" w:rsidP="004F0AB1">
      <w:pPr>
        <w:jc w:val="center"/>
      </w:pPr>
      <w:bookmarkStart w:id="0" w:name="_GoBack"/>
      <w:bookmarkEnd w:id="0"/>
      <w:r>
        <w:rPr>
          <w:b/>
          <w:noProof/>
          <w:color w:val="000000" w:themeColor="text1"/>
          <w:sz w:val="28"/>
          <w:szCs w:val="28"/>
          <w:lang w:val="en-IE" w:eastAsia="en-IE"/>
        </w:rPr>
        <w:drawing>
          <wp:inline distT="0" distB="0" distL="0" distR="0" wp14:anchorId="1866860D" wp14:editId="4B7E66C9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 Affairs Ireland Logo_P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70" cy="9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49EE" w14:textId="77777777" w:rsidR="008B496C" w:rsidRDefault="008B496C" w:rsidP="008B496C">
      <w:pPr>
        <w:jc w:val="center"/>
      </w:pPr>
      <w:r>
        <w:t xml:space="preserve">Report on SAI Virtual </w:t>
      </w:r>
      <w:r>
        <w:rPr>
          <w:b/>
        </w:rPr>
        <w:t xml:space="preserve">AGM </w:t>
      </w:r>
      <w:r>
        <w:t>Meeting</w:t>
      </w:r>
    </w:p>
    <w:p w14:paraId="75ED2938" w14:textId="35C13518" w:rsidR="008B496C" w:rsidRDefault="008B496C" w:rsidP="008B496C">
      <w:pPr>
        <w:jc w:val="center"/>
      </w:pPr>
      <w:r>
        <w:t>16</w:t>
      </w:r>
      <w:r w:rsidRPr="004730A5">
        <w:rPr>
          <w:vertAlign w:val="superscript"/>
        </w:rPr>
        <w:t>th</w:t>
      </w:r>
      <w:r>
        <w:t xml:space="preserve"> June 2021 at 12.30 a.m.</w:t>
      </w:r>
    </w:p>
    <w:tbl>
      <w:tblPr>
        <w:tblStyle w:val="TableGrid"/>
        <w:tblW w:w="10074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948"/>
        <w:gridCol w:w="1134"/>
      </w:tblGrid>
      <w:tr w:rsidR="008B496C" w:rsidRPr="00E17377" w14:paraId="1BC1BEF3" w14:textId="77777777" w:rsidTr="00AA4413">
        <w:tc>
          <w:tcPr>
            <w:tcW w:w="992" w:type="dxa"/>
            <w:shd w:val="clear" w:color="auto" w:fill="auto"/>
          </w:tcPr>
          <w:p w14:paraId="2653408E" w14:textId="77777777" w:rsidR="008B496C" w:rsidRPr="00D81D98" w:rsidRDefault="008B496C" w:rsidP="00AA4413">
            <w:pPr>
              <w:rPr>
                <w:b/>
                <w:sz w:val="20"/>
                <w:szCs w:val="20"/>
              </w:rPr>
            </w:pPr>
            <w:r w:rsidRPr="00D81D98">
              <w:rPr>
                <w:b/>
                <w:sz w:val="20"/>
                <w:szCs w:val="20"/>
              </w:rPr>
              <w:t>Present:</w:t>
            </w:r>
          </w:p>
        </w:tc>
        <w:tc>
          <w:tcPr>
            <w:tcW w:w="9082" w:type="dxa"/>
            <w:gridSpan w:val="2"/>
            <w:shd w:val="clear" w:color="auto" w:fill="auto"/>
          </w:tcPr>
          <w:p w14:paraId="62E06120" w14:textId="77777777" w:rsidR="008B496C" w:rsidRDefault="008B496C" w:rsidP="00AA44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Paul Moriarty, Head of Student Experience, UCC; </w:t>
            </w:r>
            <w:r w:rsidR="00F954D7">
              <w:rPr>
                <w:bCs/>
                <w:sz w:val="20"/>
                <w:szCs w:val="20"/>
              </w:rPr>
              <w:t xml:space="preserve">Representing IUSSN ; </w:t>
            </w:r>
            <w:r>
              <w:rPr>
                <w:bCs/>
                <w:sz w:val="20"/>
                <w:szCs w:val="20"/>
              </w:rPr>
              <w:t xml:space="preserve">SAI </w:t>
            </w:r>
            <w:r w:rsidRPr="00C05EC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Chair</w:t>
            </w:r>
            <w:r w:rsidRPr="00C05EC1">
              <w:rPr>
                <w:bCs/>
                <w:sz w:val="20"/>
                <w:szCs w:val="20"/>
              </w:rPr>
              <w:t>;</w:t>
            </w:r>
            <w:r w:rsidR="00F954D7">
              <w:rPr>
                <w:bCs/>
                <w:sz w:val="20"/>
                <w:szCs w:val="20"/>
              </w:rPr>
              <w:t>;</w:t>
            </w:r>
          </w:p>
          <w:p w14:paraId="54FAE4C9" w14:textId="77777777" w:rsidR="008B496C" w:rsidRDefault="008B496C" w:rsidP="00AA4413">
            <w:pPr>
              <w:rPr>
                <w:sz w:val="20"/>
                <w:szCs w:val="20"/>
              </w:rPr>
            </w:pPr>
            <w:proofErr w:type="spellStart"/>
            <w:r w:rsidRPr="00F354ED">
              <w:rPr>
                <w:sz w:val="20"/>
                <w:szCs w:val="20"/>
              </w:rPr>
              <w:t>Nóirín</w:t>
            </w:r>
            <w:proofErr w:type="spellEnd"/>
            <w:r w:rsidRPr="00F354ED">
              <w:rPr>
                <w:sz w:val="20"/>
                <w:szCs w:val="20"/>
              </w:rPr>
              <w:t xml:space="preserve"> Deady, </w:t>
            </w:r>
            <w:r>
              <w:rPr>
                <w:sz w:val="20"/>
                <w:szCs w:val="20"/>
              </w:rPr>
              <w:t xml:space="preserve">First Year Experience Co-Ordinator, UCC; </w:t>
            </w:r>
            <w:r w:rsidRPr="00F354ED">
              <w:rPr>
                <w:sz w:val="20"/>
                <w:szCs w:val="20"/>
              </w:rPr>
              <w:t xml:space="preserve"> Vice-Chair</w:t>
            </w:r>
            <w:r>
              <w:rPr>
                <w:sz w:val="20"/>
                <w:szCs w:val="20"/>
              </w:rPr>
              <w:t>;</w:t>
            </w:r>
          </w:p>
          <w:p w14:paraId="3827DCE5" w14:textId="77777777" w:rsidR="008B496C" w:rsidRDefault="008B496C" w:rsidP="00AA4413">
            <w:pPr>
              <w:ind w:right="-907"/>
              <w:jc w:val="both"/>
              <w:rPr>
                <w:rStyle w:val="Strong"/>
                <w:rFonts w:cs="Arial"/>
                <w:b w:val="0"/>
                <w:sz w:val="20"/>
                <w:szCs w:val="20"/>
                <w:lang w:val="en"/>
              </w:rPr>
            </w:pPr>
            <w:r w:rsidRPr="00C05EC1">
              <w:rPr>
                <w:bCs/>
                <w:sz w:val="20"/>
                <w:szCs w:val="20"/>
              </w:rPr>
              <w:t>John Hannon, D</w:t>
            </w:r>
            <w:r>
              <w:rPr>
                <w:bCs/>
                <w:sz w:val="20"/>
                <w:szCs w:val="20"/>
              </w:rPr>
              <w:t xml:space="preserve">irector, Student Services, NUIG; </w:t>
            </w:r>
            <w:r w:rsidRPr="00C05EC1">
              <w:rPr>
                <w:bCs/>
                <w:sz w:val="20"/>
                <w:szCs w:val="20"/>
              </w:rPr>
              <w:t xml:space="preserve">Representing </w:t>
            </w:r>
            <w:r>
              <w:rPr>
                <w:rStyle w:val="Strong"/>
                <w:rFonts w:cs="Arial"/>
                <w:b w:val="0"/>
                <w:sz w:val="20"/>
                <w:szCs w:val="20"/>
                <w:lang w:val="en"/>
              </w:rPr>
              <w:t>IUSSN, Membership Secretary</w:t>
            </w:r>
            <w:r w:rsidRPr="00C05EC1">
              <w:rPr>
                <w:rStyle w:val="Strong"/>
                <w:rFonts w:cs="Arial"/>
                <w:sz w:val="20"/>
                <w:szCs w:val="20"/>
                <w:lang w:val="en"/>
              </w:rPr>
              <w:t>;</w:t>
            </w:r>
          </w:p>
          <w:p w14:paraId="6C5209EA" w14:textId="77777777" w:rsidR="008B496C" w:rsidRDefault="008B496C" w:rsidP="00AA4413">
            <w:pPr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 Caldwell, Chaplain, GMIT;  Representing IT Chaplains Group;</w:t>
            </w:r>
          </w:p>
          <w:p w14:paraId="22535636" w14:textId="77777777" w:rsidR="008B496C" w:rsidRPr="00C05EC1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 w:rsidRPr="00C05EC1">
              <w:rPr>
                <w:bCs/>
                <w:sz w:val="20"/>
                <w:szCs w:val="20"/>
              </w:rPr>
              <w:t>Linda Barry, Student Services, Admissions &amp; Exams, LIT</w:t>
            </w:r>
            <w:r>
              <w:rPr>
                <w:bCs/>
                <w:sz w:val="20"/>
                <w:szCs w:val="20"/>
              </w:rPr>
              <w:t>; R</w:t>
            </w:r>
            <w:r w:rsidRPr="00C05EC1">
              <w:rPr>
                <w:bCs/>
                <w:sz w:val="20"/>
                <w:szCs w:val="20"/>
              </w:rPr>
              <w:t xml:space="preserve">epresenting THEA Sector; </w:t>
            </w:r>
          </w:p>
          <w:p w14:paraId="721F275C" w14:textId="77777777" w:rsidR="008B496C" w:rsidRDefault="008B496C" w:rsidP="00AA4413">
            <w:pPr>
              <w:ind w:right="-907"/>
              <w:jc w:val="both"/>
              <w:rPr>
                <w:sz w:val="20"/>
                <w:szCs w:val="20"/>
              </w:rPr>
            </w:pPr>
            <w:r w:rsidRPr="00E17377">
              <w:rPr>
                <w:sz w:val="20"/>
                <w:szCs w:val="20"/>
              </w:rPr>
              <w:t>Clodagh Byrne, Mature Student</w:t>
            </w:r>
            <w:r>
              <w:rPr>
                <w:sz w:val="20"/>
                <w:szCs w:val="20"/>
              </w:rPr>
              <w:t xml:space="preserve"> </w:t>
            </w:r>
            <w:r w:rsidR="00F954D7">
              <w:rPr>
                <w:sz w:val="20"/>
                <w:szCs w:val="20"/>
              </w:rPr>
              <w:t>Officer, TCD;  Representing MSI;</w:t>
            </w:r>
            <w:r>
              <w:rPr>
                <w:sz w:val="20"/>
                <w:szCs w:val="20"/>
              </w:rPr>
              <w:t xml:space="preserve"> </w:t>
            </w:r>
            <w:r w:rsidRPr="00E17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External Liaison Officer;</w:t>
            </w:r>
          </w:p>
          <w:p w14:paraId="3035FB25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 Collins, Academic Administration &amp; Student Affairs Manager, CIT;  Treasurer;</w:t>
            </w:r>
          </w:p>
          <w:p w14:paraId="21F084B3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Vicky O Sullivan, General Manager, Students Union, CIT;</w:t>
            </w:r>
          </w:p>
          <w:p w14:paraId="231F7ABB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Clare Kelly, TCD Student Health Centre;  Representing ISHA;</w:t>
            </w:r>
          </w:p>
          <w:p w14:paraId="09B41827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Michelle Whyte, Societies Officer, UCC Societies;  Representing BICS;</w:t>
            </w:r>
          </w:p>
          <w:p w14:paraId="5D0F36D4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Scott Evans, Chaplain, UCD;  Representing 3</w:t>
            </w:r>
            <w:r w:rsidRPr="008B496C">
              <w:rPr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Cs/>
                <w:sz w:val="20"/>
                <w:szCs w:val="20"/>
              </w:rPr>
              <w:t xml:space="preserve"> Level Chaplains Group (CN3);</w:t>
            </w:r>
          </w:p>
          <w:p w14:paraId="2BB758BB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Shane Mooney, Head of Student Experience, Dublin Business School;  Representing ICOS</w:t>
            </w:r>
          </w:p>
          <w:p w14:paraId="33D3BF1F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</w:p>
          <w:p w14:paraId="5D57E326" w14:textId="77777777" w:rsidR="008B496C" w:rsidRDefault="008B496C" w:rsidP="00AA4413">
            <w:pPr>
              <w:ind w:right="-907"/>
              <w:jc w:val="both"/>
              <w:rPr>
                <w:rFonts w:ascii="Calibri" w:hAnsi="Calibr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FFFFF"/>
              </w:rPr>
              <w:t>Apologies:</w:t>
            </w:r>
          </w:p>
          <w:p w14:paraId="0FB20F4F" w14:textId="77777777" w:rsidR="008B496C" w:rsidRDefault="008B496C" w:rsidP="00AA4413">
            <w:pPr>
              <w:ind w:right="-907"/>
              <w:jc w:val="both"/>
              <w:rPr>
                <w:rFonts w:cs="Arial"/>
                <w:sz w:val="20"/>
                <w:szCs w:val="20"/>
              </w:rPr>
            </w:pPr>
            <w:r w:rsidRPr="0072773D">
              <w:rPr>
                <w:rFonts w:cs="Arial"/>
                <w:sz w:val="20"/>
                <w:szCs w:val="20"/>
              </w:rPr>
              <w:t>Roisin O Donovan, USI Welfare Officer;</w:t>
            </w:r>
          </w:p>
          <w:p w14:paraId="3D020FC2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James McCormack, Head, Counselling, NUIG;  representing PCHEI;</w:t>
            </w:r>
          </w:p>
          <w:p w14:paraId="132358F3" w14:textId="77777777" w:rsidR="008B496C" w:rsidRDefault="008B496C" w:rsidP="00AA4413">
            <w:pPr>
              <w:ind w:right="-90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Rachel Godfrey, Arts Faculty Administrator, MICL;</w:t>
            </w:r>
          </w:p>
          <w:p w14:paraId="4E182317" w14:textId="77777777" w:rsidR="008B496C" w:rsidRPr="00F954D7" w:rsidRDefault="008B496C" w:rsidP="00AA4413">
            <w:pPr>
              <w:ind w:right="-907"/>
              <w:jc w:val="both"/>
              <w:rPr>
                <w:b/>
                <w:sz w:val="20"/>
                <w:szCs w:val="20"/>
              </w:rPr>
            </w:pPr>
          </w:p>
          <w:p w14:paraId="0F0707C5" w14:textId="77777777" w:rsidR="008B496C" w:rsidRPr="003B061F" w:rsidRDefault="008B496C" w:rsidP="00AA4413">
            <w:pPr>
              <w:rPr>
                <w:sz w:val="20"/>
                <w:szCs w:val="20"/>
              </w:rPr>
            </w:pPr>
            <w:r w:rsidRPr="00F954D7">
              <w:rPr>
                <w:b/>
                <w:sz w:val="20"/>
                <w:szCs w:val="20"/>
              </w:rPr>
              <w:t>In attendance:</w:t>
            </w:r>
            <w:r w:rsidRPr="00E17377">
              <w:rPr>
                <w:sz w:val="20"/>
                <w:szCs w:val="20"/>
              </w:rPr>
              <w:t xml:space="preserve">  Martha Henchion</w:t>
            </w:r>
            <w:r>
              <w:rPr>
                <w:sz w:val="20"/>
                <w:szCs w:val="20"/>
              </w:rPr>
              <w:t>, SAI Administrator.</w:t>
            </w:r>
          </w:p>
        </w:tc>
      </w:tr>
      <w:tr w:rsidR="008B496C" w:rsidRPr="00E17377" w14:paraId="0B8F7376" w14:textId="77777777" w:rsidTr="00AA4413">
        <w:tc>
          <w:tcPr>
            <w:tcW w:w="992" w:type="dxa"/>
            <w:shd w:val="clear" w:color="auto" w:fill="auto"/>
          </w:tcPr>
          <w:p w14:paraId="72C73476" w14:textId="77777777" w:rsidR="008B496C" w:rsidRPr="00D81D98" w:rsidRDefault="008B496C" w:rsidP="00AA4413">
            <w:pPr>
              <w:jc w:val="center"/>
              <w:rPr>
                <w:b/>
                <w:sz w:val="20"/>
                <w:szCs w:val="20"/>
              </w:rPr>
            </w:pPr>
            <w:r w:rsidRPr="00D81D98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948" w:type="dxa"/>
            <w:shd w:val="clear" w:color="auto" w:fill="auto"/>
          </w:tcPr>
          <w:p w14:paraId="5F3477F2" w14:textId="77777777" w:rsidR="008B496C" w:rsidRPr="00E17377" w:rsidRDefault="008B496C" w:rsidP="00AA4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EA5A19" w14:textId="77777777" w:rsidR="008B496C" w:rsidRPr="00D81D98" w:rsidRDefault="008B496C" w:rsidP="00AA4413">
            <w:pPr>
              <w:jc w:val="center"/>
              <w:rPr>
                <w:b/>
                <w:sz w:val="20"/>
                <w:szCs w:val="20"/>
              </w:rPr>
            </w:pPr>
            <w:r w:rsidRPr="00D81D98">
              <w:rPr>
                <w:b/>
                <w:sz w:val="20"/>
                <w:szCs w:val="20"/>
              </w:rPr>
              <w:t>Action</w:t>
            </w:r>
          </w:p>
        </w:tc>
      </w:tr>
      <w:tr w:rsidR="008B496C" w:rsidRPr="00E17377" w14:paraId="2CDC8FFF" w14:textId="77777777" w:rsidTr="00AA4413">
        <w:tc>
          <w:tcPr>
            <w:tcW w:w="992" w:type="dxa"/>
            <w:shd w:val="clear" w:color="auto" w:fill="auto"/>
          </w:tcPr>
          <w:p w14:paraId="194D2B72" w14:textId="77777777" w:rsidR="008B496C" w:rsidRPr="00E17377" w:rsidRDefault="008B496C" w:rsidP="00AA4413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14:paraId="40886305" w14:textId="77777777" w:rsidR="008B496C" w:rsidRPr="00E17377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Chair welcomed and thanked everyone for attending the AGM.</w:t>
            </w:r>
          </w:p>
        </w:tc>
        <w:tc>
          <w:tcPr>
            <w:tcW w:w="1134" w:type="dxa"/>
            <w:shd w:val="clear" w:color="auto" w:fill="auto"/>
          </w:tcPr>
          <w:p w14:paraId="4B4B8FE8" w14:textId="77777777" w:rsidR="008B496C" w:rsidRPr="00E17377" w:rsidRDefault="008B496C" w:rsidP="00AA4413">
            <w:pPr>
              <w:rPr>
                <w:sz w:val="20"/>
                <w:szCs w:val="20"/>
              </w:rPr>
            </w:pPr>
          </w:p>
        </w:tc>
      </w:tr>
      <w:tr w:rsidR="008B496C" w:rsidRPr="00E17377" w14:paraId="262A21F5" w14:textId="77777777" w:rsidTr="00AA4413">
        <w:tc>
          <w:tcPr>
            <w:tcW w:w="992" w:type="dxa"/>
            <w:shd w:val="clear" w:color="auto" w:fill="auto"/>
          </w:tcPr>
          <w:p w14:paraId="248D05E0" w14:textId="77777777" w:rsidR="008B496C" w:rsidRPr="00E17377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</w:t>
            </w:r>
          </w:p>
        </w:tc>
        <w:tc>
          <w:tcPr>
            <w:tcW w:w="7948" w:type="dxa"/>
            <w:shd w:val="clear" w:color="auto" w:fill="auto"/>
          </w:tcPr>
          <w:p w14:paraId="51272CDA" w14:textId="77777777" w:rsidR="008B496C" w:rsidRDefault="008B496C" w:rsidP="00AA4413">
            <w:pPr>
              <w:rPr>
                <w:sz w:val="20"/>
                <w:szCs w:val="20"/>
              </w:rPr>
            </w:pPr>
            <w:r w:rsidRPr="00D81D98">
              <w:rPr>
                <w:b/>
                <w:sz w:val="20"/>
                <w:szCs w:val="20"/>
              </w:rPr>
              <w:t xml:space="preserve">Minutes of </w:t>
            </w:r>
            <w:r>
              <w:rPr>
                <w:b/>
                <w:sz w:val="20"/>
                <w:szCs w:val="20"/>
              </w:rPr>
              <w:t>the Meeting held on 11</w:t>
            </w:r>
            <w:r w:rsidRPr="00D42130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June, 2019</w:t>
            </w:r>
            <w:r w:rsidRPr="00E1737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  <w:p w14:paraId="66F09629" w14:textId="77777777" w:rsidR="008B496C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draft AGM minutes </w:t>
            </w:r>
            <w:proofErr w:type="gramStart"/>
            <w:r>
              <w:rPr>
                <w:sz w:val="20"/>
                <w:szCs w:val="20"/>
              </w:rPr>
              <w:t>had been circulated</w:t>
            </w:r>
            <w:proofErr w:type="gramEnd"/>
            <w:r>
              <w:rPr>
                <w:sz w:val="20"/>
                <w:szCs w:val="20"/>
              </w:rPr>
              <w:t xml:space="preserve"> and were approved.</w:t>
            </w:r>
          </w:p>
        </w:tc>
        <w:tc>
          <w:tcPr>
            <w:tcW w:w="1134" w:type="dxa"/>
            <w:shd w:val="clear" w:color="auto" w:fill="auto"/>
          </w:tcPr>
          <w:p w14:paraId="36BDA379" w14:textId="77777777" w:rsidR="008B496C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2435271C" w14:textId="77777777" w:rsidR="008B496C" w:rsidRPr="00E17377" w:rsidRDefault="008B496C" w:rsidP="00AA4413">
            <w:pPr>
              <w:rPr>
                <w:sz w:val="20"/>
                <w:szCs w:val="20"/>
              </w:rPr>
            </w:pPr>
          </w:p>
        </w:tc>
      </w:tr>
      <w:tr w:rsidR="008B496C" w:rsidRPr="00E17377" w14:paraId="2F989E12" w14:textId="77777777" w:rsidTr="00AA4413">
        <w:tc>
          <w:tcPr>
            <w:tcW w:w="992" w:type="dxa"/>
            <w:shd w:val="clear" w:color="auto" w:fill="auto"/>
          </w:tcPr>
          <w:p w14:paraId="3965841A" w14:textId="77777777" w:rsidR="008B496C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7948" w:type="dxa"/>
            <w:shd w:val="clear" w:color="auto" w:fill="auto"/>
          </w:tcPr>
          <w:p w14:paraId="0689B9F5" w14:textId="77777777" w:rsidR="008B496C" w:rsidRDefault="008B496C" w:rsidP="00AA4413">
            <w:pPr>
              <w:rPr>
                <w:b/>
                <w:sz w:val="20"/>
                <w:szCs w:val="20"/>
              </w:rPr>
            </w:pPr>
            <w:r w:rsidRPr="00D42130">
              <w:rPr>
                <w:b/>
                <w:sz w:val="20"/>
                <w:szCs w:val="20"/>
              </w:rPr>
              <w:t>Chair’s Report</w:t>
            </w:r>
          </w:p>
          <w:p w14:paraId="6CAF9DAE" w14:textId="77777777" w:rsidR="008B496C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Chair presented SAI’s Strategic Plan and advised the members of the following:</w:t>
            </w:r>
          </w:p>
          <w:p w14:paraId="28410676" w14:textId="5DDEC0A7" w:rsidR="008B496C" w:rsidRDefault="008B496C" w:rsidP="008B49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SAI’s organisational structure has been enhanced by the </w:t>
            </w:r>
            <w:r w:rsidR="00F954D7">
              <w:rPr>
                <w:sz w:val="20"/>
                <w:szCs w:val="20"/>
              </w:rPr>
              <w:t>creation of an Executive and a</w:t>
            </w:r>
            <w:r>
              <w:rPr>
                <w:sz w:val="20"/>
                <w:szCs w:val="20"/>
              </w:rPr>
              <w:t xml:space="preserve"> re-drafting of the SAI Constitution;</w:t>
            </w:r>
          </w:p>
          <w:p w14:paraId="61A1A638" w14:textId="7B3B97F1" w:rsidR="008B496C" w:rsidRDefault="008B496C" w:rsidP="008B49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Strategic Plan</w:t>
            </w:r>
            <w:r w:rsidR="00AD3054">
              <w:rPr>
                <w:sz w:val="20"/>
                <w:szCs w:val="20"/>
              </w:rPr>
              <w:t xml:space="preserve"> 2020 – 2024</w:t>
            </w:r>
            <w:r>
              <w:rPr>
                <w:sz w:val="20"/>
                <w:szCs w:val="20"/>
              </w:rPr>
              <w:t xml:space="preserve"> will shortly be </w:t>
            </w:r>
            <w:r w:rsidR="00AD3054">
              <w:rPr>
                <w:sz w:val="20"/>
                <w:szCs w:val="20"/>
              </w:rPr>
              <w:t>formulated;</w:t>
            </w:r>
            <w:r>
              <w:rPr>
                <w:sz w:val="20"/>
                <w:szCs w:val="20"/>
              </w:rPr>
              <w:t xml:space="preserve"> </w:t>
            </w:r>
          </w:p>
          <w:p w14:paraId="7738A20A" w14:textId="6421B5DA" w:rsidR="008B496C" w:rsidRDefault="008B496C" w:rsidP="008B49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SAI’s </w:t>
            </w:r>
            <w:r w:rsidR="002A1E57">
              <w:rPr>
                <w:sz w:val="20"/>
                <w:szCs w:val="20"/>
              </w:rPr>
              <w:t xml:space="preserve">official </w:t>
            </w:r>
            <w:r>
              <w:rPr>
                <w:sz w:val="20"/>
                <w:szCs w:val="20"/>
              </w:rPr>
              <w:t xml:space="preserve">legal status </w:t>
            </w:r>
            <w:r w:rsidR="00F954D7">
              <w:rPr>
                <w:sz w:val="20"/>
                <w:szCs w:val="20"/>
              </w:rPr>
              <w:t xml:space="preserve">to be </w:t>
            </w:r>
            <w:r w:rsidR="002A1E57">
              <w:rPr>
                <w:sz w:val="20"/>
                <w:szCs w:val="20"/>
              </w:rPr>
              <w:t xml:space="preserve">addressed </w:t>
            </w:r>
            <w:r w:rsidR="00B16890">
              <w:rPr>
                <w:sz w:val="20"/>
                <w:szCs w:val="20"/>
              </w:rPr>
              <w:t xml:space="preserve">and formulised </w:t>
            </w:r>
            <w:r w:rsidR="002A1E57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enable payment of </w:t>
            </w:r>
            <w:r w:rsidR="00AD3054">
              <w:rPr>
                <w:sz w:val="20"/>
                <w:szCs w:val="20"/>
              </w:rPr>
              <w:t xml:space="preserve">membership </w:t>
            </w:r>
            <w:r>
              <w:rPr>
                <w:sz w:val="20"/>
                <w:szCs w:val="20"/>
              </w:rPr>
              <w:t>fees</w:t>
            </w:r>
            <w:r w:rsidR="002A1E57">
              <w:rPr>
                <w:sz w:val="20"/>
                <w:szCs w:val="20"/>
              </w:rPr>
              <w:t xml:space="preserve"> in 2022;</w:t>
            </w:r>
          </w:p>
          <w:p w14:paraId="709C2813" w14:textId="0BAA5872" w:rsidR="00C611DB" w:rsidRDefault="001C4ED6" w:rsidP="001C4ED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Despite Covid-19, SAI offered </w:t>
            </w:r>
            <w:r w:rsidR="002A1E57">
              <w:rPr>
                <w:sz w:val="20"/>
                <w:szCs w:val="20"/>
              </w:rPr>
              <w:t>several</w:t>
            </w:r>
            <w:r>
              <w:rPr>
                <w:sz w:val="20"/>
                <w:szCs w:val="20"/>
              </w:rPr>
              <w:t xml:space="preserve"> successful online events which provided opportunities to share </w:t>
            </w:r>
            <w:r w:rsidR="00C611DB">
              <w:rPr>
                <w:sz w:val="20"/>
                <w:szCs w:val="20"/>
              </w:rPr>
              <w:t>good practices</w:t>
            </w:r>
            <w:r w:rsidR="002A1E57">
              <w:rPr>
                <w:sz w:val="20"/>
                <w:szCs w:val="20"/>
              </w:rPr>
              <w:t xml:space="preserve"> </w:t>
            </w:r>
            <w:r w:rsidR="00B16890">
              <w:rPr>
                <w:sz w:val="20"/>
                <w:szCs w:val="20"/>
              </w:rPr>
              <w:t xml:space="preserve">and resources </w:t>
            </w:r>
            <w:r w:rsidR="002A1E57">
              <w:rPr>
                <w:sz w:val="20"/>
                <w:szCs w:val="20"/>
              </w:rPr>
              <w:t xml:space="preserve">across the HE sector; </w:t>
            </w:r>
          </w:p>
          <w:p w14:paraId="57944267" w14:textId="77777777" w:rsidR="002A1E57" w:rsidRPr="002A1E57" w:rsidRDefault="002A1E57" w:rsidP="002A1E57">
            <w:pPr>
              <w:rPr>
                <w:sz w:val="20"/>
                <w:szCs w:val="20"/>
              </w:rPr>
            </w:pPr>
          </w:p>
          <w:p w14:paraId="5CC43649" w14:textId="77777777" w:rsidR="001C4ED6" w:rsidRPr="002A1E57" w:rsidRDefault="001C4ED6" w:rsidP="002A1E57">
            <w:pPr>
              <w:rPr>
                <w:sz w:val="20"/>
                <w:szCs w:val="20"/>
              </w:rPr>
            </w:pPr>
            <w:r w:rsidRPr="002A1E57">
              <w:rPr>
                <w:sz w:val="20"/>
                <w:szCs w:val="20"/>
              </w:rPr>
              <w:t>SAI continued to raise its organisational profile through:</w:t>
            </w:r>
          </w:p>
          <w:p w14:paraId="6E638727" w14:textId="533B4F85" w:rsidR="001C4ED6" w:rsidRDefault="001C4ED6" w:rsidP="001C4E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Communication with the</w:t>
            </w:r>
            <w:r w:rsidR="002A1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HEA;</w:t>
            </w:r>
          </w:p>
          <w:p w14:paraId="7B44CDF0" w14:textId="77777777" w:rsidR="001C4ED6" w:rsidRDefault="001C4ED6" w:rsidP="001C4E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Consultation with DES prior to Budget;</w:t>
            </w:r>
          </w:p>
          <w:p w14:paraId="199D6A40" w14:textId="77777777" w:rsidR="001C4ED6" w:rsidRDefault="001C4ED6" w:rsidP="001C4E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Engagement with AMOSSHE, </w:t>
            </w:r>
            <w:proofErr w:type="spellStart"/>
            <w:r>
              <w:rPr>
                <w:sz w:val="20"/>
                <w:szCs w:val="20"/>
              </w:rPr>
              <w:t>ECStA</w:t>
            </w:r>
            <w:proofErr w:type="spellEnd"/>
            <w:r>
              <w:rPr>
                <w:sz w:val="20"/>
                <w:szCs w:val="20"/>
              </w:rPr>
              <w:t>, NASPA</w:t>
            </w:r>
            <w:r w:rsidR="00F954D7">
              <w:rPr>
                <w:sz w:val="20"/>
                <w:szCs w:val="20"/>
              </w:rPr>
              <w:t>;</w:t>
            </w:r>
          </w:p>
          <w:p w14:paraId="4701C8AE" w14:textId="5A545539" w:rsidR="001C4ED6" w:rsidRDefault="001C4ED6" w:rsidP="001C4E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successful bid to host the </w:t>
            </w:r>
            <w:proofErr w:type="gramStart"/>
            <w:r>
              <w:rPr>
                <w:sz w:val="20"/>
                <w:szCs w:val="20"/>
              </w:rPr>
              <w:t>6</w:t>
            </w:r>
            <w:r w:rsidRPr="001C4ED6">
              <w:rPr>
                <w:sz w:val="20"/>
                <w:szCs w:val="20"/>
                <w:vertAlign w:val="superscript"/>
              </w:rPr>
              <w:t>th</w:t>
            </w:r>
            <w:proofErr w:type="gramEnd"/>
            <w:r>
              <w:rPr>
                <w:sz w:val="20"/>
                <w:szCs w:val="20"/>
              </w:rPr>
              <w:t xml:space="preserve"> Global Summit on Student Affairs and Services</w:t>
            </w:r>
            <w:r w:rsidR="002A1E5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="002A1E5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he Chair thanked ND for her work on this;</w:t>
            </w:r>
          </w:p>
          <w:p w14:paraId="2A7C943A" w14:textId="2E104E44" w:rsidR="001C4ED6" w:rsidRDefault="001C4ED6" w:rsidP="001C4E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 being invited onto various groups, including the National Forum for </w:t>
            </w:r>
            <w:r w:rsidR="00B433FE">
              <w:rPr>
                <w:sz w:val="20"/>
                <w:szCs w:val="20"/>
              </w:rPr>
              <w:t xml:space="preserve">the Enhancement of </w:t>
            </w:r>
            <w:r>
              <w:rPr>
                <w:sz w:val="20"/>
                <w:szCs w:val="20"/>
              </w:rPr>
              <w:t>Teaching and Learning</w:t>
            </w:r>
            <w:r w:rsidR="00B433FE">
              <w:rPr>
                <w:sz w:val="20"/>
                <w:szCs w:val="20"/>
              </w:rPr>
              <w:t xml:space="preserve"> in Higher Education; </w:t>
            </w:r>
          </w:p>
          <w:p w14:paraId="084F46D2" w14:textId="0051662F" w:rsidR="001C4ED6" w:rsidRDefault="001C4ED6" w:rsidP="001C4E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Involvement in the Minister’s Drug Task Force</w:t>
            </w:r>
            <w:r w:rsidR="005E318D">
              <w:rPr>
                <w:sz w:val="20"/>
                <w:szCs w:val="20"/>
              </w:rPr>
              <w:t>.</w:t>
            </w:r>
          </w:p>
          <w:p w14:paraId="403DB5C3" w14:textId="77777777" w:rsidR="00B433FE" w:rsidRDefault="00B433FE" w:rsidP="00B433FE">
            <w:pPr>
              <w:pStyle w:val="ListParagraph"/>
              <w:ind w:left="1485"/>
              <w:rPr>
                <w:sz w:val="20"/>
                <w:szCs w:val="20"/>
              </w:rPr>
            </w:pPr>
          </w:p>
          <w:p w14:paraId="645CA048" w14:textId="70A0D173" w:rsidR="001C4ED6" w:rsidRDefault="001C4ED6" w:rsidP="001C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Chair would like to see SAI undertake future research work to inform good practice</w:t>
            </w:r>
            <w:r w:rsidR="00B433F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="00B433F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thanked the SAI </w:t>
            </w:r>
            <w:r w:rsidR="00F954D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xecutive and Board f</w:t>
            </w:r>
            <w:r w:rsidR="00F954D7">
              <w:rPr>
                <w:sz w:val="20"/>
                <w:szCs w:val="20"/>
              </w:rPr>
              <w:t>or their work in progressing SAI</w:t>
            </w:r>
            <w:r w:rsidR="00B433FE">
              <w:rPr>
                <w:sz w:val="20"/>
                <w:szCs w:val="20"/>
              </w:rPr>
              <w:t>.</w:t>
            </w:r>
          </w:p>
          <w:p w14:paraId="507DDA9F" w14:textId="54118DE4" w:rsidR="008B496C" w:rsidRPr="008B496C" w:rsidRDefault="001C4ED6" w:rsidP="001C4E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Chair also thanked Daniel for his work on the SAI </w:t>
            </w:r>
            <w:proofErr w:type="gramStart"/>
            <w:r>
              <w:rPr>
                <w:sz w:val="20"/>
                <w:szCs w:val="20"/>
              </w:rPr>
              <w:t>Newsletter</w:t>
            </w:r>
            <w:r w:rsidR="00B433FE">
              <w:rPr>
                <w:sz w:val="20"/>
                <w:szCs w:val="20"/>
              </w:rPr>
              <w:t xml:space="preserve"> which he acknowledged</w:t>
            </w:r>
            <w:proofErr w:type="gramEnd"/>
            <w:r w:rsidR="00B433FE">
              <w:rPr>
                <w:sz w:val="20"/>
                <w:szCs w:val="20"/>
              </w:rPr>
              <w:t xml:space="preserve"> is a good means of communicating with SAI members. </w:t>
            </w:r>
          </w:p>
        </w:tc>
        <w:tc>
          <w:tcPr>
            <w:tcW w:w="1134" w:type="dxa"/>
            <w:shd w:val="clear" w:color="auto" w:fill="auto"/>
          </w:tcPr>
          <w:p w14:paraId="0738F842" w14:textId="77777777" w:rsidR="008B496C" w:rsidRDefault="008B496C" w:rsidP="001C4ED6">
            <w:pPr>
              <w:rPr>
                <w:sz w:val="20"/>
                <w:szCs w:val="20"/>
              </w:rPr>
            </w:pPr>
          </w:p>
        </w:tc>
      </w:tr>
      <w:tr w:rsidR="008B496C" w:rsidRPr="00E17377" w14:paraId="0BC23534" w14:textId="77777777" w:rsidTr="00AA4413">
        <w:tc>
          <w:tcPr>
            <w:tcW w:w="992" w:type="dxa"/>
            <w:shd w:val="clear" w:color="auto" w:fill="auto"/>
          </w:tcPr>
          <w:p w14:paraId="0CF4E4D2" w14:textId="77777777" w:rsidR="008B496C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</w:t>
            </w:r>
          </w:p>
        </w:tc>
        <w:tc>
          <w:tcPr>
            <w:tcW w:w="7948" w:type="dxa"/>
            <w:shd w:val="clear" w:color="auto" w:fill="auto"/>
          </w:tcPr>
          <w:p w14:paraId="29FAFC52" w14:textId="77777777" w:rsidR="008B496C" w:rsidRDefault="008B496C" w:rsidP="00AA4413">
            <w:pPr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Membership Secretary’s Report</w:t>
            </w:r>
          </w:p>
          <w:p w14:paraId="1CAE99D4" w14:textId="77777777" w:rsidR="008B496C" w:rsidRDefault="00CD2C8D" w:rsidP="001C4ED6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advised attendees of the following:</w:t>
            </w:r>
          </w:p>
          <w:p w14:paraId="71500ACB" w14:textId="77777777" w:rsidR="00CD2C8D" w:rsidRDefault="00CD2C8D" w:rsidP="00CD2C8D">
            <w:pPr>
              <w:pStyle w:val="ListParagraph"/>
              <w:numPr>
                <w:ilvl w:val="0"/>
                <w:numId w:val="15"/>
              </w:num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SAI Board meetings were held in the past year;</w:t>
            </w:r>
          </w:p>
          <w:p w14:paraId="26BAF11A" w14:textId="77777777" w:rsidR="00CD2C8D" w:rsidRDefault="00CD2C8D" w:rsidP="00CD2C8D">
            <w:pPr>
              <w:pStyle w:val="ListParagraph"/>
              <w:numPr>
                <w:ilvl w:val="0"/>
                <w:numId w:val="15"/>
              </w:num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SAI Executive meetings were held in the past year;</w:t>
            </w:r>
          </w:p>
          <w:p w14:paraId="6CC046E3" w14:textId="76CCB746" w:rsidR="00CD2C8D" w:rsidRPr="00CD2C8D" w:rsidRDefault="00CD2C8D" w:rsidP="00CD2C8D">
            <w:pPr>
              <w:pStyle w:val="ListParagraph"/>
              <w:numPr>
                <w:ilvl w:val="0"/>
                <w:numId w:val="15"/>
              </w:num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number of SAI CPD Events were </w:t>
            </w:r>
            <w:r w:rsidR="00B433FE">
              <w:rPr>
                <w:sz w:val="20"/>
                <w:szCs w:val="20"/>
              </w:rPr>
              <w:t>organised</w:t>
            </w:r>
            <w:r>
              <w:rPr>
                <w:sz w:val="20"/>
                <w:szCs w:val="20"/>
              </w:rPr>
              <w:t xml:space="preserve"> including </w:t>
            </w:r>
            <w:r>
              <w:rPr>
                <w:i/>
                <w:sz w:val="20"/>
                <w:szCs w:val="20"/>
              </w:rPr>
              <w:t xml:space="preserve">Developing a Resource Kit for Student Orientation, Self-care for the Student Support Community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i/>
                <w:sz w:val="20"/>
                <w:szCs w:val="20"/>
              </w:rPr>
              <w:t>What is working during the pandemic;  sharing good practice</w:t>
            </w:r>
            <w:r w:rsidR="00F954D7">
              <w:rPr>
                <w:i/>
                <w:sz w:val="20"/>
                <w:szCs w:val="20"/>
              </w:rPr>
              <w:t>;</w:t>
            </w:r>
          </w:p>
          <w:p w14:paraId="276C6781" w14:textId="77777777" w:rsidR="00CD2C8D" w:rsidRDefault="00CD2C8D" w:rsidP="00CD2C8D">
            <w:pPr>
              <w:pStyle w:val="ListParagraph"/>
              <w:numPr>
                <w:ilvl w:val="0"/>
                <w:numId w:val="15"/>
              </w:num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currently over 700 SAI members</w:t>
            </w:r>
            <w:r w:rsidR="00F954D7">
              <w:rPr>
                <w:sz w:val="20"/>
                <w:szCs w:val="20"/>
              </w:rPr>
              <w:t>.</w:t>
            </w:r>
          </w:p>
          <w:p w14:paraId="04CB8F37" w14:textId="45B22147" w:rsidR="00CD2C8D" w:rsidRPr="00CD2C8D" w:rsidRDefault="00CD2C8D" w:rsidP="00CD2C8D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acknowledged the SAI SIG’s – the Accommodation SIG, the Student Finance SIG and the Engagement and Progression SIG and advised m</w:t>
            </w:r>
            <w:r w:rsidR="00F954D7">
              <w:rPr>
                <w:sz w:val="20"/>
                <w:szCs w:val="20"/>
              </w:rPr>
              <w:t>embers that those interested were</w:t>
            </w:r>
            <w:r>
              <w:rPr>
                <w:sz w:val="20"/>
                <w:szCs w:val="20"/>
              </w:rPr>
              <w:t xml:space="preserve"> welcome to join these.  He also advised members that SAI is currently working with the Natio</w:t>
            </w:r>
            <w:r w:rsidR="00F954D7">
              <w:rPr>
                <w:sz w:val="20"/>
                <w:szCs w:val="20"/>
              </w:rPr>
              <w:t>nal Forum for</w:t>
            </w:r>
            <w:r w:rsidR="00B433FE">
              <w:rPr>
                <w:sz w:val="20"/>
                <w:szCs w:val="20"/>
              </w:rPr>
              <w:t xml:space="preserve"> The Enhancement of</w:t>
            </w:r>
            <w:r w:rsidR="00F954D7">
              <w:rPr>
                <w:sz w:val="20"/>
                <w:szCs w:val="20"/>
              </w:rPr>
              <w:t xml:space="preserve"> Teaching and L</w:t>
            </w:r>
            <w:r>
              <w:rPr>
                <w:sz w:val="20"/>
                <w:szCs w:val="20"/>
              </w:rPr>
              <w:t xml:space="preserve">earning </w:t>
            </w:r>
            <w:r w:rsidR="00B433FE">
              <w:rPr>
                <w:sz w:val="20"/>
                <w:szCs w:val="20"/>
              </w:rPr>
              <w:t xml:space="preserve">in Higher Education </w:t>
            </w:r>
            <w:r>
              <w:rPr>
                <w:sz w:val="20"/>
                <w:szCs w:val="20"/>
              </w:rPr>
              <w:t xml:space="preserve">on </w:t>
            </w:r>
            <w:r>
              <w:rPr>
                <w:i/>
                <w:sz w:val="20"/>
                <w:szCs w:val="20"/>
              </w:rPr>
              <w:t>Lunch and Learn</w:t>
            </w:r>
            <w:r>
              <w:rPr>
                <w:sz w:val="20"/>
                <w:szCs w:val="20"/>
              </w:rPr>
              <w:t xml:space="preserve"> workshops in the areas of Orientation, Health &amp; Wellbeing, Administrative Support, </w:t>
            </w:r>
            <w:proofErr w:type="gramStart"/>
            <w:r w:rsidR="00B433FE">
              <w:rPr>
                <w:sz w:val="20"/>
                <w:szCs w:val="20"/>
              </w:rPr>
              <w:t>Belonging</w:t>
            </w:r>
            <w:proofErr w:type="gramEnd"/>
            <w:r>
              <w:rPr>
                <w:sz w:val="20"/>
                <w:szCs w:val="20"/>
              </w:rPr>
              <w:t xml:space="preserve"> etc. </w:t>
            </w:r>
            <w:r w:rsidR="00B433FE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urther details to follow on these</w:t>
            </w:r>
            <w:r w:rsidR="00B433F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1041F22C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4CF43682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4FDBFFBA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45EE6EFE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6724D9BE" w14:textId="77777777" w:rsidR="008B496C" w:rsidRDefault="008B496C" w:rsidP="00AA4413">
            <w:pPr>
              <w:rPr>
                <w:sz w:val="20"/>
                <w:szCs w:val="20"/>
              </w:rPr>
            </w:pPr>
          </w:p>
        </w:tc>
      </w:tr>
      <w:tr w:rsidR="008B496C" w:rsidRPr="00E17377" w14:paraId="2DA3C1BE" w14:textId="77777777" w:rsidTr="00AA4413">
        <w:tc>
          <w:tcPr>
            <w:tcW w:w="992" w:type="dxa"/>
            <w:shd w:val="clear" w:color="auto" w:fill="auto"/>
          </w:tcPr>
          <w:p w14:paraId="347FC3F0" w14:textId="77777777" w:rsidR="008B496C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4</w:t>
            </w:r>
          </w:p>
        </w:tc>
        <w:tc>
          <w:tcPr>
            <w:tcW w:w="7948" w:type="dxa"/>
            <w:shd w:val="clear" w:color="auto" w:fill="auto"/>
          </w:tcPr>
          <w:p w14:paraId="248CA2EF" w14:textId="77777777" w:rsidR="008B496C" w:rsidRDefault="008B496C" w:rsidP="00AA4413">
            <w:pPr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Treasurer’s Report </w:t>
            </w:r>
          </w:p>
          <w:p w14:paraId="42536F02" w14:textId="77777777" w:rsidR="008B496C" w:rsidRDefault="00CD2C8D" w:rsidP="00CD2C8D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0465D">
              <w:rPr>
                <w:sz w:val="20"/>
                <w:szCs w:val="20"/>
              </w:rPr>
              <w:t xml:space="preserve">AC presented the Treasurer’s Report for the period 1 </w:t>
            </w:r>
            <w:proofErr w:type="gramStart"/>
            <w:r w:rsidR="0070465D">
              <w:rPr>
                <w:sz w:val="20"/>
                <w:szCs w:val="20"/>
              </w:rPr>
              <w:t>June,</w:t>
            </w:r>
            <w:proofErr w:type="gramEnd"/>
            <w:r w:rsidR="0070465D">
              <w:rPr>
                <w:sz w:val="20"/>
                <w:szCs w:val="20"/>
              </w:rPr>
              <w:t xml:space="preserve"> 2020-December 2020 (it was agreed at the 2020 AGM that the next set of accounts would be produced for the 6 months period </w:t>
            </w:r>
            <w:r w:rsidR="00F954D7">
              <w:rPr>
                <w:sz w:val="20"/>
                <w:szCs w:val="20"/>
              </w:rPr>
              <w:t xml:space="preserve">to bring the accounts </w:t>
            </w:r>
            <w:r w:rsidR="0070465D">
              <w:rPr>
                <w:sz w:val="20"/>
                <w:szCs w:val="20"/>
              </w:rPr>
              <w:t>in line with the SAI Constitution).</w:t>
            </w:r>
          </w:p>
          <w:p w14:paraId="15D684CF" w14:textId="77777777" w:rsidR="0070465D" w:rsidRDefault="0070465D" w:rsidP="00CD2C8D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advised members that SAI is in a stable financial position with adequate resources to meet any unexpected contingencies.</w:t>
            </w:r>
          </w:p>
          <w:p w14:paraId="3F4FA957" w14:textId="77777777" w:rsidR="00B433FE" w:rsidRDefault="0070465D" w:rsidP="00CD2C8D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Overall expenditure for </w:t>
            </w:r>
            <w:r w:rsidR="00F954D7">
              <w:rPr>
                <w:sz w:val="20"/>
                <w:szCs w:val="20"/>
              </w:rPr>
              <w:t xml:space="preserve">the year was </w:t>
            </w:r>
            <w:r w:rsidR="00B433FE">
              <w:rPr>
                <w:sz w:val="20"/>
                <w:szCs w:val="20"/>
              </w:rPr>
              <w:t>€12,679.34</w:t>
            </w:r>
          </w:p>
          <w:p w14:paraId="61B1ADF2" w14:textId="0840F6FB" w:rsidR="0070465D" w:rsidRDefault="0070465D" w:rsidP="00CD2C8D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DAC acknowledged the </w:t>
            </w:r>
            <w:proofErr w:type="gramStart"/>
            <w:r>
              <w:rPr>
                <w:sz w:val="20"/>
                <w:szCs w:val="20"/>
              </w:rPr>
              <w:t>Administrator’s</w:t>
            </w:r>
            <w:proofErr w:type="gramEnd"/>
            <w:r>
              <w:rPr>
                <w:sz w:val="20"/>
                <w:szCs w:val="20"/>
              </w:rPr>
              <w:t xml:space="preserve"> input to the overall running of SAI.</w:t>
            </w:r>
          </w:p>
          <w:p w14:paraId="786B1851" w14:textId="77777777" w:rsidR="0070465D" w:rsidRDefault="0070465D" w:rsidP="00CD2C8D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 recommended the following:</w:t>
            </w:r>
          </w:p>
          <w:p w14:paraId="3F90E1D9" w14:textId="77777777" w:rsidR="0070465D" w:rsidRDefault="0070465D" w:rsidP="0070465D">
            <w:pPr>
              <w:pStyle w:val="ListParagraph"/>
              <w:numPr>
                <w:ilvl w:val="0"/>
                <w:numId w:val="16"/>
              </w:num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Treasurer, Chairperson and Vice-Chairperson to act as joint signatories on SAI’s bank account</w:t>
            </w:r>
            <w:r w:rsidR="00F954D7">
              <w:rPr>
                <w:sz w:val="20"/>
                <w:szCs w:val="20"/>
              </w:rPr>
              <w:t>;</w:t>
            </w:r>
          </w:p>
          <w:p w14:paraId="34351694" w14:textId="77777777" w:rsidR="0070465D" w:rsidRDefault="0070465D" w:rsidP="0070465D">
            <w:pPr>
              <w:pStyle w:val="ListParagraph"/>
              <w:numPr>
                <w:ilvl w:val="0"/>
                <w:numId w:val="16"/>
              </w:num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Prudent to move from Banking 365 to Business online to facilitate dual authorisation of payments</w:t>
            </w:r>
            <w:r w:rsidR="00F954D7">
              <w:rPr>
                <w:sz w:val="20"/>
                <w:szCs w:val="20"/>
              </w:rPr>
              <w:t>;</w:t>
            </w:r>
          </w:p>
          <w:p w14:paraId="73AFEFF3" w14:textId="77777777" w:rsidR="008B496C" w:rsidRPr="001C4ED6" w:rsidRDefault="0070465D" w:rsidP="0070465D">
            <w:pPr>
              <w:pStyle w:val="ListParagraph"/>
              <w:numPr>
                <w:ilvl w:val="0"/>
                <w:numId w:val="16"/>
              </w:numPr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 documentation, including invoices and submitted receipts </w:t>
            </w:r>
            <w:proofErr w:type="gramStart"/>
            <w:r>
              <w:rPr>
                <w:sz w:val="20"/>
                <w:szCs w:val="20"/>
              </w:rPr>
              <w:t>should be signed off and dated by at least two signatories</w:t>
            </w:r>
            <w:proofErr w:type="gramEnd"/>
            <w:r>
              <w:rPr>
                <w:sz w:val="20"/>
                <w:szCs w:val="20"/>
              </w:rPr>
              <w:t>.</w:t>
            </w:r>
            <w:r w:rsidR="008B496C" w:rsidRPr="001C4E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F95225B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5753D83F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469BC4E6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60DD877D" w14:textId="77777777" w:rsidR="008B496C" w:rsidRDefault="008B496C" w:rsidP="00AA4413">
            <w:pPr>
              <w:rPr>
                <w:sz w:val="20"/>
                <w:szCs w:val="20"/>
              </w:rPr>
            </w:pPr>
          </w:p>
        </w:tc>
      </w:tr>
      <w:tr w:rsidR="008B496C" w:rsidRPr="00E17377" w14:paraId="0EDD6FD7" w14:textId="77777777" w:rsidTr="00AA4413">
        <w:trPr>
          <w:trHeight w:val="966"/>
        </w:trPr>
        <w:tc>
          <w:tcPr>
            <w:tcW w:w="992" w:type="dxa"/>
            <w:shd w:val="clear" w:color="auto" w:fill="auto"/>
          </w:tcPr>
          <w:p w14:paraId="7E4C6F1C" w14:textId="77777777" w:rsidR="008B496C" w:rsidRPr="00562A45" w:rsidRDefault="008B496C" w:rsidP="00AA4413">
            <w:pPr>
              <w:rPr>
                <w:sz w:val="20"/>
                <w:szCs w:val="20"/>
              </w:rPr>
            </w:pPr>
            <w:r w:rsidRPr="00562A45">
              <w:rPr>
                <w:sz w:val="20"/>
                <w:szCs w:val="20"/>
              </w:rPr>
              <w:t xml:space="preserve">         5  </w:t>
            </w:r>
          </w:p>
          <w:p w14:paraId="554F8440" w14:textId="77777777" w:rsidR="008B496C" w:rsidRPr="00562A45" w:rsidRDefault="008B496C" w:rsidP="00AA4413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14:paraId="6691677C" w14:textId="77777777" w:rsidR="008B496C" w:rsidRDefault="001C4ED6" w:rsidP="00AA4413">
            <w:pPr>
              <w:shd w:val="clear" w:color="auto" w:fill="FFFFFF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Motions/Elections</w:t>
            </w:r>
          </w:p>
          <w:p w14:paraId="733BF0E3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 w:rsidRPr="00B433FE">
              <w:rPr>
                <w:bCs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Nomination for Communications Officer – Daniel Caldwell</w:t>
            </w:r>
          </w:p>
          <w:p w14:paraId="5D95236F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Nomination for Membership Secretary – John Hannon</w:t>
            </w:r>
          </w:p>
          <w:p w14:paraId="3D7D339D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there was no nomination for the Treasurer post, DAC agreed to stay on for the comi</w:t>
            </w:r>
            <w:r w:rsidR="00F954D7">
              <w:rPr>
                <w:sz w:val="20"/>
                <w:szCs w:val="20"/>
              </w:rPr>
              <w:t>ng year with the support of VO’S</w:t>
            </w:r>
            <w:r>
              <w:rPr>
                <w:sz w:val="20"/>
                <w:szCs w:val="20"/>
              </w:rPr>
              <w:t xml:space="preserve"> from MTU.  The Chair thanked VO’S for agreeing to this.</w:t>
            </w:r>
          </w:p>
          <w:p w14:paraId="0731E328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</w:p>
          <w:p w14:paraId="1FE43632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Incoming Board Member</w:t>
            </w:r>
          </w:p>
          <w:p w14:paraId="10FFECA4" w14:textId="77777777" w:rsidR="0070465D" w:rsidRP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70465D">
              <w:rPr>
                <w:sz w:val="20"/>
                <w:szCs w:val="20"/>
              </w:rPr>
              <w:t>Somhairle</w:t>
            </w:r>
            <w:proofErr w:type="spellEnd"/>
            <w:r w:rsidRPr="0070465D">
              <w:rPr>
                <w:sz w:val="20"/>
                <w:szCs w:val="20"/>
              </w:rPr>
              <w:t xml:space="preserve"> Brennan (USI)</w:t>
            </w:r>
          </w:p>
          <w:p w14:paraId="45260633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EC8BC53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General Board Nominations:</w:t>
            </w:r>
          </w:p>
          <w:p w14:paraId="55EDA846" w14:textId="56E9BECC" w:rsid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Maeve Minihane, UCC</w:t>
            </w:r>
          </w:p>
          <w:p w14:paraId="195D6364" w14:textId="77777777" w:rsid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Niamh Nestor, UCD</w:t>
            </w:r>
          </w:p>
          <w:p w14:paraId="2EBAC4A0" w14:textId="77777777" w:rsidR="0070465D" w:rsidRPr="0070465D" w:rsidRDefault="0070465D" w:rsidP="00AA4413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Chair welcomed the new Board Members</w:t>
            </w:r>
          </w:p>
        </w:tc>
        <w:tc>
          <w:tcPr>
            <w:tcW w:w="1134" w:type="dxa"/>
            <w:shd w:val="clear" w:color="auto" w:fill="auto"/>
          </w:tcPr>
          <w:p w14:paraId="4E160B09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3EB23B1A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56921E53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3EA233BD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6FA7AE7A" w14:textId="77777777" w:rsidR="008B496C" w:rsidRPr="00E17377" w:rsidRDefault="008B496C" w:rsidP="00AA4413">
            <w:pPr>
              <w:rPr>
                <w:sz w:val="20"/>
                <w:szCs w:val="20"/>
              </w:rPr>
            </w:pPr>
          </w:p>
        </w:tc>
      </w:tr>
      <w:tr w:rsidR="008B496C" w:rsidRPr="00E17377" w14:paraId="6023E14E" w14:textId="77777777" w:rsidTr="00AA4413">
        <w:trPr>
          <w:trHeight w:val="1155"/>
        </w:trPr>
        <w:tc>
          <w:tcPr>
            <w:tcW w:w="992" w:type="dxa"/>
            <w:shd w:val="clear" w:color="auto" w:fill="auto"/>
          </w:tcPr>
          <w:p w14:paraId="601845C6" w14:textId="77777777" w:rsidR="008B496C" w:rsidRPr="00E17377" w:rsidRDefault="008B496C" w:rsidP="00AA4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</w:t>
            </w:r>
          </w:p>
        </w:tc>
        <w:tc>
          <w:tcPr>
            <w:tcW w:w="7948" w:type="dxa"/>
            <w:shd w:val="clear" w:color="auto" w:fill="auto"/>
          </w:tcPr>
          <w:p w14:paraId="1E399F63" w14:textId="77777777" w:rsidR="008B496C" w:rsidRPr="001C4ED6" w:rsidRDefault="001C4ED6" w:rsidP="00AA4413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1C4ED6">
              <w:rPr>
                <w:b/>
                <w:sz w:val="20"/>
                <w:szCs w:val="20"/>
              </w:rPr>
              <w:t>New Membership Structures</w:t>
            </w:r>
          </w:p>
          <w:p w14:paraId="23A4665E" w14:textId="77777777" w:rsidR="008B496C" w:rsidRDefault="007B475A" w:rsidP="00AA441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advised the members that the current membership structure/rates are not fit for purpose and he proposed a new two-tire membership structure based on the number of students in each HEI as follows:</w:t>
            </w:r>
          </w:p>
          <w:p w14:paraId="74F7EFF9" w14:textId="77777777" w:rsidR="007B475A" w:rsidRDefault="007B475A" w:rsidP="00AA4413">
            <w:pPr>
              <w:jc w:val="both"/>
              <w:outlineLvl w:val="0"/>
              <w:rPr>
                <w:sz w:val="20"/>
                <w:szCs w:val="20"/>
              </w:rPr>
            </w:pPr>
          </w:p>
          <w:p w14:paraId="66BE1CC4" w14:textId="77777777" w:rsidR="007B475A" w:rsidRDefault="007B475A" w:rsidP="00AA441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 10,000 students         -  </w:t>
            </w: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700</w:t>
            </w:r>
          </w:p>
          <w:p w14:paraId="2662680B" w14:textId="77777777" w:rsidR="007B475A" w:rsidRDefault="007B475A" w:rsidP="00AA4413">
            <w:pPr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 </w:t>
            </w:r>
            <w:proofErr w:type="spellStart"/>
            <w:r>
              <w:rPr>
                <w:sz w:val="20"/>
                <w:szCs w:val="20"/>
              </w:rPr>
              <w:t>that</w:t>
            </w:r>
            <w:proofErr w:type="spellEnd"/>
            <w:r>
              <w:rPr>
                <w:sz w:val="20"/>
                <w:szCs w:val="20"/>
              </w:rPr>
              <w:t xml:space="preserve"> 10,000 students  -  </w:t>
            </w: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400</w:t>
            </w:r>
          </w:p>
          <w:p w14:paraId="283E237F" w14:textId="77777777" w:rsidR="007B475A" w:rsidRDefault="007B475A" w:rsidP="00AA4413">
            <w:pPr>
              <w:jc w:val="both"/>
              <w:outlineLvl w:val="0"/>
              <w:rPr>
                <w:rFonts w:cstheme="minorHAnsi"/>
                <w:sz w:val="20"/>
                <w:szCs w:val="20"/>
              </w:rPr>
            </w:pPr>
          </w:p>
          <w:p w14:paraId="72E48D22" w14:textId="77777777" w:rsidR="007B475A" w:rsidRDefault="007B475A" w:rsidP="00AA4413">
            <w:pPr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JH believes the new structure is a more equitable model in terms of fees and takes into account the changing landscape </w:t>
            </w:r>
            <w:r w:rsidR="00F954D7">
              <w:rPr>
                <w:rFonts w:cstheme="minorHAnsi"/>
                <w:sz w:val="20"/>
                <w:szCs w:val="20"/>
              </w:rPr>
              <w:t>of higher education in Ireland.</w:t>
            </w:r>
          </w:p>
          <w:p w14:paraId="4551E070" w14:textId="667308E2" w:rsidR="008B496C" w:rsidRPr="00D42130" w:rsidRDefault="007B475A" w:rsidP="00AA441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new membership structure/rates were agreed.</w:t>
            </w:r>
          </w:p>
        </w:tc>
        <w:tc>
          <w:tcPr>
            <w:tcW w:w="1134" w:type="dxa"/>
            <w:shd w:val="clear" w:color="auto" w:fill="auto"/>
          </w:tcPr>
          <w:p w14:paraId="711C0871" w14:textId="77777777" w:rsidR="008B496C" w:rsidRDefault="008B496C" w:rsidP="00AA4413">
            <w:pPr>
              <w:rPr>
                <w:sz w:val="20"/>
                <w:szCs w:val="20"/>
              </w:rPr>
            </w:pPr>
          </w:p>
          <w:p w14:paraId="5B7CDC7F" w14:textId="77777777" w:rsidR="008B496C" w:rsidRPr="00E17377" w:rsidRDefault="008B496C" w:rsidP="00AA4413">
            <w:pPr>
              <w:rPr>
                <w:sz w:val="20"/>
                <w:szCs w:val="20"/>
              </w:rPr>
            </w:pPr>
          </w:p>
        </w:tc>
      </w:tr>
      <w:tr w:rsidR="001C4ED6" w:rsidRPr="00E17377" w14:paraId="1AC66B21" w14:textId="77777777" w:rsidTr="004F0AB1">
        <w:trPr>
          <w:trHeight w:val="738"/>
        </w:trPr>
        <w:tc>
          <w:tcPr>
            <w:tcW w:w="992" w:type="dxa"/>
            <w:shd w:val="clear" w:color="auto" w:fill="auto"/>
          </w:tcPr>
          <w:p w14:paraId="5B876020" w14:textId="77777777" w:rsidR="001C4ED6" w:rsidRDefault="001C4ED6" w:rsidP="001C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48" w:type="dxa"/>
            <w:shd w:val="clear" w:color="auto" w:fill="auto"/>
          </w:tcPr>
          <w:p w14:paraId="737F8FF3" w14:textId="77777777" w:rsidR="001C4ED6" w:rsidRDefault="001C4ED6" w:rsidP="00AA4413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1C4ED6">
              <w:rPr>
                <w:b/>
                <w:sz w:val="20"/>
                <w:szCs w:val="20"/>
              </w:rPr>
              <w:t>AOB</w:t>
            </w:r>
          </w:p>
          <w:p w14:paraId="7FC265CB" w14:textId="5CA0B561" w:rsidR="007B475A" w:rsidRPr="007B475A" w:rsidRDefault="007B475A" w:rsidP="00AA441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F954D7">
              <w:rPr>
                <w:sz w:val="20"/>
                <w:szCs w:val="20"/>
              </w:rPr>
              <w:t xml:space="preserve"> Chair thanked everyone for att</w:t>
            </w:r>
            <w:r>
              <w:rPr>
                <w:sz w:val="20"/>
                <w:szCs w:val="20"/>
              </w:rPr>
              <w:t>ending the AGM and thanked the Administrator</w:t>
            </w:r>
            <w:r w:rsidR="00B60A61">
              <w:rPr>
                <w:sz w:val="20"/>
                <w:szCs w:val="20"/>
              </w:rPr>
              <w:t>, Martha Henchion</w:t>
            </w:r>
            <w:r>
              <w:rPr>
                <w:sz w:val="20"/>
                <w:szCs w:val="20"/>
              </w:rPr>
              <w:t xml:space="preserve"> for her contribution</w:t>
            </w:r>
            <w:r w:rsidR="00B60A61">
              <w:rPr>
                <w:sz w:val="20"/>
                <w:szCs w:val="20"/>
              </w:rPr>
              <w:t xml:space="preserve"> and support</w:t>
            </w:r>
            <w:r>
              <w:rPr>
                <w:sz w:val="20"/>
                <w:szCs w:val="20"/>
              </w:rPr>
              <w:t xml:space="preserve"> for the past year.</w:t>
            </w:r>
          </w:p>
        </w:tc>
        <w:tc>
          <w:tcPr>
            <w:tcW w:w="1134" w:type="dxa"/>
            <w:shd w:val="clear" w:color="auto" w:fill="auto"/>
          </w:tcPr>
          <w:p w14:paraId="5FC81B26" w14:textId="77777777" w:rsidR="001C4ED6" w:rsidRDefault="001C4ED6" w:rsidP="00AA4413">
            <w:pPr>
              <w:rPr>
                <w:sz w:val="20"/>
                <w:szCs w:val="20"/>
              </w:rPr>
            </w:pPr>
          </w:p>
        </w:tc>
      </w:tr>
    </w:tbl>
    <w:p w14:paraId="1C15C796" w14:textId="77777777" w:rsidR="008B496C" w:rsidRDefault="008B496C" w:rsidP="008B496C"/>
    <w:p w14:paraId="0A968B2E" w14:textId="77777777" w:rsidR="008B496C" w:rsidRDefault="008B496C" w:rsidP="008B496C"/>
    <w:p w14:paraId="4C661457" w14:textId="77777777" w:rsidR="008B496C" w:rsidRDefault="008B496C" w:rsidP="008B496C"/>
    <w:p w14:paraId="03272307" w14:textId="77777777" w:rsidR="007D319A" w:rsidRDefault="007D319A"/>
    <w:sectPr w:rsidR="007D319A" w:rsidSect="004670E9"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A1A"/>
    <w:multiLevelType w:val="hybridMultilevel"/>
    <w:tmpl w:val="A9907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6652"/>
    <w:multiLevelType w:val="hybridMultilevel"/>
    <w:tmpl w:val="47501C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0E6"/>
    <w:multiLevelType w:val="hybridMultilevel"/>
    <w:tmpl w:val="7A1AC5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667"/>
    <w:multiLevelType w:val="hybridMultilevel"/>
    <w:tmpl w:val="33B064A2"/>
    <w:lvl w:ilvl="0" w:tplc="1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1932BBB"/>
    <w:multiLevelType w:val="hybridMultilevel"/>
    <w:tmpl w:val="B23C41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379AD"/>
    <w:multiLevelType w:val="hybridMultilevel"/>
    <w:tmpl w:val="0DA00A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ADA"/>
    <w:multiLevelType w:val="hybridMultilevel"/>
    <w:tmpl w:val="CD527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4822"/>
    <w:multiLevelType w:val="hybridMultilevel"/>
    <w:tmpl w:val="EF728E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0323"/>
    <w:multiLevelType w:val="hybridMultilevel"/>
    <w:tmpl w:val="2DA80608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BEB0E34"/>
    <w:multiLevelType w:val="hybridMultilevel"/>
    <w:tmpl w:val="183E8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3F03"/>
    <w:multiLevelType w:val="hybridMultilevel"/>
    <w:tmpl w:val="A80E97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E1B9F"/>
    <w:multiLevelType w:val="hybridMultilevel"/>
    <w:tmpl w:val="B80075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B1D3F"/>
    <w:multiLevelType w:val="hybridMultilevel"/>
    <w:tmpl w:val="86BE91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5A14"/>
    <w:multiLevelType w:val="hybridMultilevel"/>
    <w:tmpl w:val="D6866F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94F22"/>
    <w:multiLevelType w:val="hybridMultilevel"/>
    <w:tmpl w:val="3D7C32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C3845"/>
    <w:multiLevelType w:val="hybridMultilevel"/>
    <w:tmpl w:val="42EE29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14"/>
  </w:num>
  <w:num w:numId="8">
    <w:abstractNumId w:val="6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6C"/>
    <w:rsid w:val="001C4ED6"/>
    <w:rsid w:val="00276237"/>
    <w:rsid w:val="002A1E57"/>
    <w:rsid w:val="004F0AB1"/>
    <w:rsid w:val="005E318D"/>
    <w:rsid w:val="0070465D"/>
    <w:rsid w:val="007B475A"/>
    <w:rsid w:val="007D319A"/>
    <w:rsid w:val="008B496C"/>
    <w:rsid w:val="00AD3054"/>
    <w:rsid w:val="00B16890"/>
    <w:rsid w:val="00B433FE"/>
    <w:rsid w:val="00B60A61"/>
    <w:rsid w:val="00C611DB"/>
    <w:rsid w:val="00CD2C8D"/>
    <w:rsid w:val="00F41E88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364B"/>
  <w15:chartTrackingRefBased/>
  <w15:docId w15:val="{FCBE1999-6F1F-4294-A1D8-E9215BA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96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6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B496C"/>
    <w:rPr>
      <w:b/>
      <w:bCs/>
    </w:rPr>
  </w:style>
  <w:style w:type="paragraph" w:styleId="ListParagraph">
    <w:name w:val="List Paragraph"/>
    <w:basedOn w:val="Normal"/>
    <w:uiPriority w:val="34"/>
    <w:qFormat/>
    <w:rsid w:val="008B4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Henchion, Martha (Admissions)</dc:creator>
  <cp:keywords/>
  <dc:description/>
  <cp:lastModifiedBy>Henchion, Martha (Admissions)</cp:lastModifiedBy>
  <cp:revision>2</cp:revision>
  <dcterms:created xsi:type="dcterms:W3CDTF">2022-05-31T11:20:00Z</dcterms:created>
  <dcterms:modified xsi:type="dcterms:W3CDTF">2022-05-31T11:20:00Z</dcterms:modified>
</cp:coreProperties>
</file>